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Tr="001F5134">
        <w:trPr>
          <w:trHeight w:val="3720"/>
        </w:trPr>
        <w:tc>
          <w:tcPr>
            <w:tcW w:w="9416" w:type="dxa"/>
            <w:gridSpan w:val="3"/>
          </w:tcPr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B2B3C" wp14:editId="3306955C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1F5134" w:rsidRPr="0091133C" w:rsidRDefault="00CB0F8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MESLEK YÜKSEKOKULU</w:t>
            </w:r>
          </w:p>
          <w:p w:rsidR="001F5134" w:rsidRPr="0091133C" w:rsidRDefault="00A4194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Ulaştırma Hizmetleri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Bölümü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</w:t>
            </w:r>
            <w:r w:rsidR="00CB0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18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-20</w:t>
            </w:r>
            <w:r w:rsidR="00CB0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19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GÜZ </w:t>
            </w:r>
          </w:p>
          <w:p w:rsidR="001F5134" w:rsidRPr="0091133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1F5134" w:rsidRPr="00562944" w:rsidRDefault="00A4194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MUD</w:t>
            </w:r>
            <w:r w:rsidR="00CB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</w:t>
            </w:r>
            <w:r w:rsidR="008B6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CB0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TAŞIMACILIKTA DOKÜ</w:t>
            </w:r>
            <w:r w:rsidR="008B6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MANTASYON YÖNETİMİ</w:t>
            </w:r>
          </w:p>
          <w:p w:rsidR="001F5134" w:rsidRPr="0091133C" w:rsidRDefault="00A4194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Değerlendirme Formu </w:t>
            </w:r>
          </w:p>
          <w:p w:rsidR="001F5134" w:rsidRDefault="001F5134" w:rsidP="001F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200AC5" w:rsidRDefault="001F5134" w:rsidP="00200AC5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Öğrencinin Adı </w:t>
            </w:r>
            <w:r w:rsidR="00E25A92" w:rsidRPr="001F51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Soyadı:</w:t>
            </w: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562944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00AC5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AC5" w:rsidRDefault="00200AC5" w:rsidP="00200AC5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Öğrenci No. ve Program Adı:</w:t>
            </w: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AC5" w:rsidRPr="00562944" w:rsidRDefault="00200AC5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DEĞERLENDİRME KRİTERLERİ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TAM PUAN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ÖĞRENCİNİN PUANI</w:t>
            </w: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A41946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Senaryo 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C4595C" w:rsidP="001F5134">
            <w:pPr>
              <w:jc w:val="center"/>
            </w:pPr>
            <w:r>
              <w:t>25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A4194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46" w:rsidRDefault="00A41946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Senaryo 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46" w:rsidRDefault="00C4595C" w:rsidP="001F5134">
            <w:pPr>
              <w:jc w:val="center"/>
            </w:pPr>
            <w:r>
              <w:t>25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46" w:rsidRPr="00562944" w:rsidRDefault="00A41946" w:rsidP="001F5134"/>
        </w:tc>
      </w:tr>
      <w:tr w:rsidR="00A4194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46" w:rsidRDefault="00A41946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Senaryo 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46" w:rsidRDefault="00C4595C" w:rsidP="001F5134">
            <w:pPr>
              <w:jc w:val="center"/>
            </w:pPr>
            <w:r>
              <w:t>25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46" w:rsidRPr="00562944" w:rsidRDefault="00A41946" w:rsidP="001F5134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A41946" w:rsidP="00D67BB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Senaryo 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C4595C" w:rsidP="001F5134">
            <w:pPr>
              <w:jc w:val="center"/>
            </w:pPr>
            <w:r>
              <w:t>25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B32BC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200AC5" w:rsidP="00200AC5">
            <w:pPr>
              <w:jc w:val="center"/>
            </w:pPr>
            <w: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/>
        </w:tc>
      </w:tr>
      <w:tr w:rsidR="00B32BCA" w:rsidRPr="00A41946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95C" w:rsidRDefault="00C4595C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Bu ders için her öğrenci 4 farklı senaryo üzerinden değerlendirilecektir. Her bir senaryonun final notuna katkısı %25’tir (4 x %25 = %100).</w:t>
            </w:r>
          </w:p>
          <w:p w:rsidR="000C0841" w:rsidRDefault="000C0841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</w:p>
          <w:p w:rsidR="00C4595C" w:rsidRDefault="00891EFF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Bu derste öğrencilerin notlandırılabilmesi için teslim edilmesi gereken belgeler aşağıdaki gibidir:</w:t>
            </w:r>
          </w:p>
          <w:p w:rsidR="000C0841" w:rsidRDefault="000C0841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</w:p>
          <w:p w:rsidR="00891EFF" w:rsidRDefault="00891EFF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1) Her bir senaryonun </w:t>
            </w:r>
            <w:r w:rsidR="00023232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tüm dokümanlarına ait ekran görüntülerinin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 birer elektronik kopyası </w:t>
            </w:r>
            <w:r w:rsidRPr="00891EFF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(lectures.yasar.edu.tr adresindeki ilgili modüle yükleyerek, üçüncü parti bir dosya paylaşım sitesi aracılığıyla, diske yazarak, ya da sıkıştırılmış dosya olarak e-mail üzerinden)</w:t>
            </w:r>
          </w:p>
          <w:p w:rsidR="000C0841" w:rsidRDefault="000C0841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</w:p>
          <w:p w:rsidR="00C4595C" w:rsidRDefault="00891EFF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2) Tüm senaryoların bitiminde öğrenilenler ile ilgili en az yarım sayfalık bir rapor. </w:t>
            </w:r>
          </w:p>
          <w:p w:rsidR="000C0841" w:rsidRDefault="000C0841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</w:p>
          <w:p w:rsidR="00891EFF" w:rsidRDefault="00891EFF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Her bir senaryo sonunda değerlendir</w:t>
            </w:r>
            <w:r w:rsidR="0003492C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menin başarılı sayılabilmesinde, doğru dokümanların </w:t>
            </w: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eksi</w:t>
            </w:r>
            <w:r w:rsidR="0003492C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ksiz olarak doldurulmuş olması belirleyici olacaktır. </w:t>
            </w:r>
          </w:p>
          <w:p w:rsidR="000C0841" w:rsidRDefault="000C0841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</w:p>
          <w:p w:rsidR="00A41946" w:rsidRDefault="00A41946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  <w:r w:rsidRPr="00A41946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Senaryoların tam listesi:</w:t>
            </w:r>
          </w:p>
          <w:p w:rsidR="000C0841" w:rsidRPr="00A41946" w:rsidRDefault="000C0841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</w:p>
          <w:p w:rsidR="00A41946" w:rsidRPr="001407BB" w:rsidRDefault="00A41946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  <w:r w:rsidRPr="00A41946">
              <w:rPr>
                <w:rFonts w:eastAsia="Calibri"/>
                <w:b/>
                <w:sz w:val="22"/>
                <w:szCs w:val="22"/>
                <w:bdr w:val="none" w:sz="0" w:space="0" w:color="auto"/>
                <w:lang w:val="tr-TR"/>
              </w:rPr>
              <w:t>Senaryo 1</w:t>
            </w:r>
            <w:r w:rsidR="0003492C">
              <w:rPr>
                <w:rFonts w:eastAsia="Calibri"/>
                <w:b/>
                <w:sz w:val="22"/>
                <w:szCs w:val="22"/>
                <w:bdr w:val="none" w:sz="0" w:space="0" w:color="auto"/>
                <w:lang w:val="tr-TR"/>
              </w:rPr>
              <w:t xml:space="preserve">: </w:t>
            </w:r>
            <w:r w:rsidR="0003492C"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Her bir öğrenci</w:t>
            </w:r>
            <w:r w:rsidR="001407BB"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nin</w:t>
            </w:r>
            <w:r w:rsidR="0003492C"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 freight forwarder rolü üstlenerek farklı taşıma yollarından (denizyolu, karayolu, havayolu, demiryolu) ve farklı müşterilerden gelecek ithal yükler için </w:t>
            </w:r>
            <w:r w:rsidR="001407BB"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gerekli dokümanları doldurup, ödemeyi tahsil edip, ithalat sürecini bitirmesi gerekmektedir. </w:t>
            </w:r>
          </w:p>
          <w:p w:rsidR="001407BB" w:rsidRDefault="001407BB" w:rsidP="00A41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Calibri"/>
                <w:b/>
                <w:sz w:val="22"/>
                <w:szCs w:val="22"/>
                <w:bdr w:val="none" w:sz="0" w:space="0" w:color="auto"/>
                <w:lang w:val="tr-TR"/>
              </w:rPr>
            </w:pPr>
          </w:p>
          <w:p w:rsidR="001407BB" w:rsidRDefault="001407BB" w:rsidP="00140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  <w:r>
              <w:rPr>
                <w:rFonts w:eastAsia="Calibri"/>
                <w:b/>
                <w:sz w:val="22"/>
                <w:szCs w:val="22"/>
                <w:bdr w:val="none" w:sz="0" w:space="0" w:color="auto"/>
                <w:lang w:val="tr-TR"/>
              </w:rPr>
              <w:t xml:space="preserve">Senaryo 2: </w:t>
            </w:r>
            <w:r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Her bir öğrencinin freight forwarder rolü üstlenerek farklı taşıma yolları</w:t>
            </w: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yla</w:t>
            </w:r>
            <w:r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 (denizyolu, karayolu, havayolu, demiryolu) ve farklı müşteriler</w:t>
            </w: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den</w:t>
            </w:r>
            <w:r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 </w:t>
            </w: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gönderilecek ihraç</w:t>
            </w:r>
            <w:r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 yükler için gerekli dokümanları doldurup, ödemeyi tahsil edip,</w:t>
            </w: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 ihrac</w:t>
            </w:r>
            <w:r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at sürecini bitirmesi gerekmektedir. </w:t>
            </w:r>
          </w:p>
          <w:p w:rsidR="001407BB" w:rsidRDefault="001407BB" w:rsidP="00140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</w:p>
          <w:p w:rsidR="001407BB" w:rsidRPr="001407BB" w:rsidRDefault="001407BB" w:rsidP="00140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  <w:r w:rsidRPr="001407BB">
              <w:rPr>
                <w:rFonts w:eastAsia="Calibri"/>
                <w:b/>
                <w:sz w:val="22"/>
                <w:szCs w:val="22"/>
                <w:bdr w:val="none" w:sz="0" w:space="0" w:color="auto"/>
                <w:lang w:val="tr-TR"/>
              </w:rPr>
              <w:lastRenderedPageBreak/>
              <w:t>Senaryo 3:</w:t>
            </w: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 </w:t>
            </w:r>
            <w:r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Her bir öğrencinin </w:t>
            </w: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acente</w:t>
            </w:r>
            <w:r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 rolü üstlenerek farklı taşıma yollarından (denizyolu, karayolu, havayolu, demiryolu) ve farklı müşterilerden gelecek ithal yükler için gerekli dokümanları doldurup, ödemeyi tahsil edip, ithalat sürecini bitirmesi gerekmektedir. </w:t>
            </w:r>
          </w:p>
          <w:p w:rsidR="001407BB" w:rsidRDefault="001407BB" w:rsidP="00140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</w:p>
          <w:p w:rsidR="00B32BCA" w:rsidRPr="000C0841" w:rsidRDefault="001407BB" w:rsidP="000C0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</w:pPr>
            <w:r w:rsidRPr="001407BB">
              <w:rPr>
                <w:rFonts w:eastAsia="Calibri"/>
                <w:b/>
                <w:sz w:val="22"/>
                <w:szCs w:val="22"/>
                <w:bdr w:val="none" w:sz="0" w:space="0" w:color="auto"/>
                <w:lang w:val="tr-TR"/>
              </w:rPr>
              <w:t>Senaryo 4:</w:t>
            </w:r>
            <w:r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 </w:t>
            </w:r>
            <w:r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Her bir öğrencinin </w:t>
            </w:r>
            <w:r w:rsidR="000C0841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>acente</w:t>
            </w:r>
            <w:r w:rsidRPr="001407BB">
              <w:rPr>
                <w:rFonts w:eastAsia="Calibri"/>
                <w:sz w:val="22"/>
                <w:szCs w:val="22"/>
                <w:bdr w:val="none" w:sz="0" w:space="0" w:color="auto"/>
                <w:lang w:val="tr-TR"/>
              </w:rPr>
              <w:t xml:space="preserve"> rolü üstlenerek farklı taşıma yollarıyla (denizyolu, karayolu, havayolu, demiryolu) ve farklı müşterilerden gönderilecek ihraç yükler için gerekli dokümanları doldurup, ödemeyi tahsil edip, ihracat sürecini bitirmesi gerekmektedir.</w:t>
            </w:r>
          </w:p>
        </w:tc>
      </w:tr>
    </w:tbl>
    <w:p w:rsidR="00E25A92" w:rsidRPr="00A41946" w:rsidRDefault="00E25A92" w:rsidP="000C0841">
      <w:pPr>
        <w:pStyle w:val="Body"/>
        <w:rPr>
          <w:rFonts w:ascii="Times New Roman" w:hAnsi="Times New Roman" w:cs="Times New Roman"/>
          <w:bCs/>
          <w:sz w:val="20"/>
          <w:szCs w:val="20"/>
        </w:rPr>
      </w:pPr>
      <w:r w:rsidRPr="00A4194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</w:t>
      </w:r>
      <w:r w:rsidR="001F5134" w:rsidRPr="00A4194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5E6106" w:rsidRPr="00A41946" w:rsidRDefault="000467D4" w:rsidP="000C0841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A41946" w:rsidRDefault="000467D4" w:rsidP="000C0841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Default="00E25A92" w:rsidP="000C0841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A419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A4194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Öğretim Üyesi Adı Soyadı / </w:t>
      </w:r>
      <w:r w:rsidR="00A41946" w:rsidRPr="00A41946">
        <w:rPr>
          <w:rFonts w:ascii="Times New Roman" w:hAnsi="Times New Roman" w:cs="Times New Roman"/>
          <w:b/>
          <w:bCs/>
          <w:sz w:val="24"/>
          <w:szCs w:val="24"/>
          <w:lang w:val="tr-TR"/>
        </w:rPr>
        <w:t>Unvanı</w:t>
      </w:r>
    </w:p>
    <w:p w:rsidR="00A41946" w:rsidRPr="00A41946" w:rsidRDefault="000C0841" w:rsidP="000C0841">
      <w:pPr>
        <w:pStyle w:val="Body"/>
        <w:jc w:val="right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Aylin ÇALIŞKAN / </w:t>
      </w:r>
      <w:r w:rsidRPr="000C0841">
        <w:rPr>
          <w:rFonts w:ascii="Times New Roman" w:hAnsi="Times New Roman" w:cs="Times New Roman"/>
          <w:bCs/>
          <w:sz w:val="24"/>
          <w:szCs w:val="24"/>
          <w:lang w:val="tr-TR"/>
        </w:rPr>
        <w:t>Ar. Gör. Dr.</w:t>
      </w:r>
    </w:p>
    <w:p w:rsidR="00E25A92" w:rsidRPr="00A41946" w:rsidRDefault="00E25A92" w:rsidP="000C0841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A4194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</w:p>
    <w:p w:rsidR="00E25A92" w:rsidRPr="00A41946" w:rsidRDefault="00E25A92" w:rsidP="000C0841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A4194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    </w:t>
      </w:r>
      <w:r w:rsidR="00200AC5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="00200AC5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../ ../ 20..</w:t>
      </w:r>
    </w:p>
    <w:p w:rsidR="00E25A92" w:rsidRPr="00A41946" w:rsidRDefault="00E25A92" w:rsidP="000C0841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805A1B" w:rsidRPr="00A41946" w:rsidRDefault="00E25A92" w:rsidP="000C0841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94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</w:t>
      </w:r>
      <w:r w:rsidR="00200AC5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="00200AC5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A4194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İmza</w:t>
      </w:r>
    </w:p>
    <w:p w:rsidR="0014379F" w:rsidRPr="00A41946" w:rsidRDefault="0014379F" w:rsidP="000C0841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379F" w:rsidRPr="00A41946" w:rsidSect="005E610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04" w:rsidRDefault="00467B04" w:rsidP="005E6106">
      <w:r>
        <w:separator/>
      </w:r>
    </w:p>
  </w:endnote>
  <w:endnote w:type="continuationSeparator" w:id="0">
    <w:p w:rsidR="00467B04" w:rsidRDefault="00467B04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04" w:rsidRDefault="00467B04" w:rsidP="005E6106">
      <w:r>
        <w:separator/>
      </w:r>
    </w:p>
  </w:footnote>
  <w:footnote w:type="continuationSeparator" w:id="0">
    <w:p w:rsidR="00467B04" w:rsidRDefault="00467B04" w:rsidP="005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23232"/>
    <w:rsid w:val="0003492C"/>
    <w:rsid w:val="000467D4"/>
    <w:rsid w:val="00053C10"/>
    <w:rsid w:val="000C0841"/>
    <w:rsid w:val="001010D8"/>
    <w:rsid w:val="001407BB"/>
    <w:rsid w:val="0014379F"/>
    <w:rsid w:val="001F5134"/>
    <w:rsid w:val="00200AC5"/>
    <w:rsid w:val="002A45FC"/>
    <w:rsid w:val="002C2B7D"/>
    <w:rsid w:val="00361CA4"/>
    <w:rsid w:val="00364014"/>
    <w:rsid w:val="00467B04"/>
    <w:rsid w:val="00487BF1"/>
    <w:rsid w:val="00562944"/>
    <w:rsid w:val="005E6106"/>
    <w:rsid w:val="006A5B49"/>
    <w:rsid w:val="00751E9A"/>
    <w:rsid w:val="00805A1B"/>
    <w:rsid w:val="00891EFF"/>
    <w:rsid w:val="00894F1B"/>
    <w:rsid w:val="008B658D"/>
    <w:rsid w:val="0091133C"/>
    <w:rsid w:val="009B678F"/>
    <w:rsid w:val="00A41946"/>
    <w:rsid w:val="00B32BCA"/>
    <w:rsid w:val="00B83750"/>
    <w:rsid w:val="00C4595C"/>
    <w:rsid w:val="00C544F0"/>
    <w:rsid w:val="00CB0F8F"/>
    <w:rsid w:val="00D67BBA"/>
    <w:rsid w:val="00E25A92"/>
    <w:rsid w:val="00F15264"/>
    <w:rsid w:val="00F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Aylin Çalışkan</cp:lastModifiedBy>
  <cp:revision>3</cp:revision>
  <dcterms:created xsi:type="dcterms:W3CDTF">2019-01-14T12:30:00Z</dcterms:created>
  <dcterms:modified xsi:type="dcterms:W3CDTF">2019-01-14T12:31:00Z</dcterms:modified>
</cp:coreProperties>
</file>